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CFA" w:rsidRPr="007C7CFA" w:rsidRDefault="007C7CFA" w:rsidP="007C7CFA">
      <w:pPr>
        <w:spacing w:after="150" w:line="240" w:lineRule="auto"/>
        <w:jc w:val="center"/>
        <w:rPr>
          <w:rFonts w:ascii="Verdana" w:eastAsia="Times New Roman" w:hAnsi="Verdana" w:cs="Times New Roman"/>
          <w:color w:val="000000"/>
          <w:sz w:val="20"/>
          <w:szCs w:val="20"/>
          <w:lang w:eastAsia="pt-BR"/>
        </w:rPr>
      </w:pPr>
      <w:bookmarkStart w:id="0" w:name="_GoBack"/>
      <w:bookmarkEnd w:id="0"/>
      <w:r>
        <w:rPr>
          <w:rFonts w:ascii="Verdana" w:eastAsia="Times New Roman" w:hAnsi="Verdana" w:cs="Times New Roman"/>
          <w:noProof/>
          <w:color w:val="000000"/>
          <w:sz w:val="20"/>
          <w:szCs w:val="20"/>
          <w:lang w:eastAsia="pt-BR"/>
        </w:rPr>
        <w:drawing>
          <wp:inline distT="0" distB="0" distL="0" distR="0">
            <wp:extent cx="643890" cy="668020"/>
            <wp:effectExtent l="0" t="0" r="3810" b="0"/>
            <wp:docPr id="1" name="Imagem 1" descr="http://anexos.datalegis.inf.br/imagens/12360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nexos.datalegis.inf.br/imagens/123608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668020"/>
                    </a:xfrm>
                    <a:prstGeom prst="rect">
                      <a:avLst/>
                    </a:prstGeom>
                    <a:noFill/>
                    <a:ln>
                      <a:noFill/>
                    </a:ln>
                  </pic:spPr>
                </pic:pic>
              </a:graphicData>
            </a:graphic>
          </wp:inline>
        </w:drawing>
      </w:r>
    </w:p>
    <w:p w:rsidR="007C7CFA" w:rsidRPr="007C7CFA" w:rsidRDefault="007C7CFA" w:rsidP="007C7CFA">
      <w:pPr>
        <w:spacing w:after="150" w:line="240" w:lineRule="auto"/>
        <w:jc w:val="center"/>
        <w:rPr>
          <w:rFonts w:ascii="Verdana" w:eastAsia="Times New Roman" w:hAnsi="Verdana" w:cs="Times New Roman"/>
          <w:color w:val="000000"/>
          <w:sz w:val="20"/>
          <w:szCs w:val="20"/>
          <w:lang w:eastAsia="pt-BR"/>
        </w:rPr>
      </w:pPr>
      <w:r w:rsidRPr="007C7CFA">
        <w:rPr>
          <w:rFonts w:ascii="Verdana" w:eastAsia="Times New Roman" w:hAnsi="Verdana" w:cs="Times New Roman"/>
          <w:b/>
          <w:bCs/>
          <w:color w:val="000000"/>
          <w:sz w:val="21"/>
          <w:szCs w:val="21"/>
          <w:lang w:eastAsia="pt-BR"/>
        </w:rPr>
        <w:t>MINISTÉRIO DA EDUCAÇÃO</w:t>
      </w:r>
    </w:p>
    <w:p w:rsidR="007C7CFA" w:rsidRPr="007C7CFA" w:rsidRDefault="007C7CFA" w:rsidP="007C7CFA">
      <w:pPr>
        <w:spacing w:after="150" w:line="240" w:lineRule="auto"/>
        <w:jc w:val="center"/>
        <w:rPr>
          <w:rFonts w:ascii="Verdana" w:eastAsia="Times New Roman" w:hAnsi="Verdana" w:cs="Times New Roman"/>
          <w:color w:val="000000"/>
          <w:sz w:val="20"/>
          <w:szCs w:val="20"/>
          <w:lang w:eastAsia="pt-BR"/>
        </w:rPr>
      </w:pPr>
      <w:r w:rsidRPr="007C7CFA">
        <w:rPr>
          <w:rFonts w:ascii="Verdana" w:eastAsia="Times New Roman" w:hAnsi="Verdana" w:cs="Times New Roman"/>
          <w:b/>
          <w:bCs/>
          <w:color w:val="000000"/>
          <w:sz w:val="21"/>
          <w:szCs w:val="21"/>
          <w:lang w:eastAsia="pt-BR"/>
        </w:rPr>
        <w:t>FUNDO NACIONAL DE DESENVOLVIMENTO DA EDUCAÇÃO</w:t>
      </w:r>
    </w:p>
    <w:p w:rsidR="007C7CFA" w:rsidRPr="007C7CFA" w:rsidRDefault="007C7CFA" w:rsidP="007C7CFA">
      <w:pPr>
        <w:spacing w:after="150" w:line="240" w:lineRule="auto"/>
        <w:jc w:val="center"/>
        <w:rPr>
          <w:rFonts w:ascii="Verdana" w:eastAsia="Times New Roman" w:hAnsi="Verdana" w:cs="Times New Roman"/>
          <w:color w:val="000000"/>
          <w:sz w:val="20"/>
          <w:szCs w:val="20"/>
          <w:lang w:eastAsia="pt-BR"/>
        </w:rPr>
      </w:pPr>
      <w:r w:rsidRPr="007C7CFA">
        <w:rPr>
          <w:rFonts w:ascii="Verdana" w:eastAsia="Times New Roman" w:hAnsi="Verdana" w:cs="Times New Roman"/>
          <w:b/>
          <w:bCs/>
          <w:color w:val="000000"/>
          <w:sz w:val="21"/>
          <w:szCs w:val="21"/>
          <w:lang w:eastAsia="pt-BR"/>
        </w:rPr>
        <w:t>CONSELHO DELIBERATIVO</w:t>
      </w:r>
    </w:p>
    <w:p w:rsidR="007C7CFA" w:rsidRDefault="007C7CFA" w:rsidP="007C7CFA">
      <w:pPr>
        <w:spacing w:after="150" w:line="240" w:lineRule="auto"/>
        <w:jc w:val="center"/>
        <w:rPr>
          <w:rFonts w:ascii="Verdana" w:eastAsia="Times New Roman" w:hAnsi="Verdana" w:cs="Times New Roman"/>
          <w:b/>
          <w:bCs/>
          <w:color w:val="000000"/>
          <w:sz w:val="20"/>
          <w:szCs w:val="20"/>
          <w:lang w:eastAsia="pt-BR"/>
        </w:rPr>
      </w:pPr>
      <w:r w:rsidRPr="007C7CFA">
        <w:rPr>
          <w:rFonts w:ascii="Verdana" w:eastAsia="Times New Roman" w:hAnsi="Verdana" w:cs="Times New Roman"/>
          <w:b/>
          <w:bCs/>
          <w:color w:val="000000"/>
          <w:sz w:val="20"/>
          <w:szCs w:val="20"/>
          <w:lang w:eastAsia="pt-BR"/>
        </w:rPr>
        <w:t>RESOLUÇÃO Nº 8, DE 16 DE DEZEMBRO DE 2016</w:t>
      </w:r>
    </w:p>
    <w:p w:rsidR="007C7CFA" w:rsidRDefault="007C7CFA" w:rsidP="007C7CFA">
      <w:pPr>
        <w:spacing w:after="150" w:line="240" w:lineRule="auto"/>
        <w:jc w:val="both"/>
        <w:rPr>
          <w:rFonts w:ascii="Verdana" w:eastAsia="Times New Roman" w:hAnsi="Verdana" w:cs="Times New Roman"/>
          <w:b/>
          <w:bCs/>
          <w:color w:val="000000"/>
          <w:sz w:val="20"/>
          <w:szCs w:val="20"/>
          <w:lang w:eastAsia="pt-BR"/>
        </w:rPr>
      </w:pPr>
      <w:r>
        <w:rPr>
          <w:rFonts w:ascii="Verdana" w:hAnsi="Verdana"/>
          <w:color w:val="000000"/>
          <w:sz w:val="20"/>
          <w:szCs w:val="20"/>
          <w:shd w:val="clear" w:color="auto" w:fill="FFFFFF"/>
        </w:rPr>
        <w:t>Altera as Resoluções nºs 10, de 18 de abril de 2013, e 16, de 9 de dezembro de 2015, do Conselho Deliberativo do Fundo Nacional de Desenvolvimento da Educação (CD/FNDE), e dá outras providências.</w:t>
      </w:r>
    </w:p>
    <w:p w:rsidR="007C7CFA" w:rsidRPr="007C7CFA" w:rsidRDefault="007C7CFA" w:rsidP="007C7CFA">
      <w:pPr>
        <w:spacing w:after="150" w:line="240" w:lineRule="auto"/>
        <w:ind w:left="11348"/>
        <w:jc w:val="both"/>
        <w:rPr>
          <w:rFonts w:ascii="Verdana" w:eastAsia="Times New Roman" w:hAnsi="Verdana" w:cs="Times New Roman"/>
          <w:color w:val="000000"/>
          <w:sz w:val="20"/>
          <w:szCs w:val="20"/>
          <w:lang w:eastAsia="pt-BR"/>
        </w:rPr>
      </w:pPr>
      <w:r w:rsidRPr="007C7CFA">
        <w:rPr>
          <w:rFonts w:ascii="Verdana" w:eastAsia="Times New Roman" w:hAnsi="Verdana" w:cs="Times New Roman"/>
          <w:color w:val="000000"/>
          <w:sz w:val="20"/>
          <w:szCs w:val="20"/>
          <w:lang w:eastAsia="pt-BR"/>
        </w:rPr>
        <w:t>.</w:t>
      </w:r>
    </w:p>
    <w:p w:rsidR="007C7CFA" w:rsidRPr="007C7CFA" w:rsidRDefault="007C7CFA" w:rsidP="007C7CFA">
      <w:pPr>
        <w:spacing w:after="150" w:line="240" w:lineRule="auto"/>
        <w:jc w:val="both"/>
        <w:rPr>
          <w:rFonts w:ascii="Verdana" w:eastAsia="Times New Roman" w:hAnsi="Verdana" w:cs="Times New Roman"/>
          <w:color w:val="000000"/>
          <w:sz w:val="20"/>
          <w:szCs w:val="20"/>
          <w:lang w:eastAsia="pt-BR"/>
        </w:rPr>
      </w:pPr>
      <w:r w:rsidRPr="007C7CFA">
        <w:rPr>
          <w:rFonts w:ascii="Verdana" w:eastAsia="Times New Roman" w:hAnsi="Verdana" w:cs="Times New Roman"/>
          <w:color w:val="000000"/>
          <w:sz w:val="20"/>
          <w:szCs w:val="20"/>
          <w:lang w:eastAsia="pt-BR"/>
        </w:rPr>
        <w:t>FUNDAMENTAÇÃO LEGAL:</w:t>
      </w:r>
    </w:p>
    <w:p w:rsidR="007C7CFA" w:rsidRPr="007C7CFA" w:rsidRDefault="00927965" w:rsidP="007C7CFA">
      <w:pPr>
        <w:spacing w:after="150" w:line="240" w:lineRule="auto"/>
        <w:rPr>
          <w:rFonts w:ascii="Verdana" w:eastAsia="Times New Roman" w:hAnsi="Verdana" w:cs="Times New Roman"/>
          <w:color w:val="000000"/>
          <w:sz w:val="20"/>
          <w:szCs w:val="20"/>
          <w:lang w:eastAsia="pt-BR"/>
        </w:rPr>
      </w:pPr>
      <w:hyperlink r:id="rId5" w:history="1">
        <w:r w:rsidR="007C7CFA" w:rsidRPr="007C7CFA">
          <w:rPr>
            <w:rFonts w:ascii="Verdana" w:eastAsia="Times New Roman" w:hAnsi="Verdana" w:cs="Times New Roman"/>
            <w:color w:val="0000EE"/>
            <w:sz w:val="20"/>
            <w:szCs w:val="20"/>
            <w:lang w:eastAsia="pt-BR"/>
          </w:rPr>
          <w:t>Constituição da República Federativa do Brasil, de 5 de outubro de 1988</w:t>
        </w:r>
      </w:hyperlink>
      <w:r w:rsidR="007C7CFA" w:rsidRPr="007C7CFA">
        <w:rPr>
          <w:rFonts w:ascii="Verdana" w:eastAsia="Times New Roman" w:hAnsi="Verdana" w:cs="Times New Roman"/>
          <w:color w:val="000000"/>
          <w:sz w:val="20"/>
          <w:szCs w:val="20"/>
          <w:lang w:eastAsia="pt-BR"/>
        </w:rPr>
        <w:t>.</w:t>
      </w:r>
      <w:r w:rsidR="007C7CFA" w:rsidRPr="007C7CFA">
        <w:rPr>
          <w:rFonts w:ascii="Verdana" w:eastAsia="Times New Roman" w:hAnsi="Verdana" w:cs="Times New Roman"/>
          <w:color w:val="000000"/>
          <w:sz w:val="20"/>
          <w:szCs w:val="20"/>
          <w:lang w:eastAsia="pt-BR"/>
        </w:rPr>
        <w:br/>
      </w:r>
      <w:hyperlink r:id="rId6" w:history="1">
        <w:r w:rsidR="007C7CFA" w:rsidRPr="007C7CFA">
          <w:rPr>
            <w:rFonts w:ascii="Verdana" w:eastAsia="Times New Roman" w:hAnsi="Verdana" w:cs="Times New Roman"/>
            <w:color w:val="0000EE"/>
            <w:sz w:val="20"/>
            <w:szCs w:val="20"/>
            <w:lang w:eastAsia="pt-BR"/>
          </w:rPr>
          <w:t>Lei n.º 5.537, de 21 de novembro de 1968</w:t>
        </w:r>
      </w:hyperlink>
      <w:r w:rsidR="007C7CFA" w:rsidRPr="007C7CFA">
        <w:rPr>
          <w:rFonts w:ascii="Verdana" w:eastAsia="Times New Roman" w:hAnsi="Verdana" w:cs="Times New Roman"/>
          <w:color w:val="000000"/>
          <w:sz w:val="20"/>
          <w:szCs w:val="20"/>
          <w:lang w:eastAsia="pt-BR"/>
        </w:rPr>
        <w:t>.</w:t>
      </w:r>
      <w:r w:rsidR="007C7CFA" w:rsidRPr="007C7CFA">
        <w:rPr>
          <w:rFonts w:ascii="Verdana" w:eastAsia="Times New Roman" w:hAnsi="Verdana" w:cs="Times New Roman"/>
          <w:color w:val="000000"/>
          <w:sz w:val="20"/>
          <w:szCs w:val="20"/>
          <w:lang w:eastAsia="pt-BR"/>
        </w:rPr>
        <w:br/>
      </w:r>
      <w:hyperlink r:id="rId7" w:history="1">
        <w:r w:rsidR="007C7CFA" w:rsidRPr="007C7CFA">
          <w:rPr>
            <w:rFonts w:ascii="Verdana" w:eastAsia="Times New Roman" w:hAnsi="Verdana" w:cs="Times New Roman"/>
            <w:color w:val="0000EE"/>
            <w:sz w:val="20"/>
            <w:szCs w:val="20"/>
            <w:lang w:eastAsia="pt-BR"/>
          </w:rPr>
          <w:t>Lei n.º 11.947, de 16 de julho de 2009</w:t>
        </w:r>
      </w:hyperlink>
      <w:r w:rsidR="007C7CFA" w:rsidRPr="007C7CFA">
        <w:rPr>
          <w:rFonts w:ascii="Verdana" w:eastAsia="Times New Roman" w:hAnsi="Verdana" w:cs="Times New Roman"/>
          <w:color w:val="000000"/>
          <w:sz w:val="20"/>
          <w:szCs w:val="20"/>
          <w:lang w:eastAsia="pt-BR"/>
        </w:rPr>
        <w:t>.</w:t>
      </w:r>
      <w:r w:rsidR="007C7CFA" w:rsidRPr="007C7CFA">
        <w:rPr>
          <w:rFonts w:ascii="Verdana" w:eastAsia="Times New Roman" w:hAnsi="Verdana" w:cs="Times New Roman"/>
          <w:color w:val="000000"/>
          <w:sz w:val="20"/>
          <w:szCs w:val="20"/>
          <w:lang w:eastAsia="pt-BR"/>
        </w:rPr>
        <w:br/>
      </w:r>
      <w:hyperlink r:id="rId8" w:history="1">
        <w:r w:rsidR="007C7CFA" w:rsidRPr="007C7CFA">
          <w:rPr>
            <w:rFonts w:ascii="Verdana" w:eastAsia="Times New Roman" w:hAnsi="Verdana" w:cs="Times New Roman"/>
            <w:color w:val="0000EE"/>
            <w:sz w:val="20"/>
            <w:szCs w:val="20"/>
            <w:lang w:eastAsia="pt-BR"/>
          </w:rPr>
          <w:t>Resolução CD-FNDE n.º 10, de 18 de abril de 2013</w:t>
        </w:r>
      </w:hyperlink>
      <w:r w:rsidR="007C7CFA" w:rsidRPr="007C7CFA">
        <w:rPr>
          <w:rFonts w:ascii="Verdana" w:eastAsia="Times New Roman" w:hAnsi="Verdana" w:cs="Times New Roman"/>
          <w:color w:val="000000"/>
          <w:sz w:val="20"/>
          <w:szCs w:val="20"/>
          <w:lang w:eastAsia="pt-BR"/>
        </w:rPr>
        <w:t>.</w:t>
      </w:r>
      <w:r w:rsidR="007C7CFA" w:rsidRPr="007C7CFA">
        <w:rPr>
          <w:rFonts w:ascii="Verdana" w:eastAsia="Times New Roman" w:hAnsi="Verdana" w:cs="Times New Roman"/>
          <w:color w:val="000000"/>
          <w:sz w:val="20"/>
          <w:szCs w:val="20"/>
          <w:lang w:eastAsia="pt-BR"/>
        </w:rPr>
        <w:br/>
      </w:r>
      <w:hyperlink r:id="rId9" w:history="1">
        <w:r w:rsidR="007C7CFA" w:rsidRPr="007C7CFA">
          <w:rPr>
            <w:rFonts w:ascii="Verdana" w:eastAsia="Times New Roman" w:hAnsi="Verdana" w:cs="Times New Roman"/>
            <w:color w:val="0000EE"/>
            <w:sz w:val="20"/>
            <w:szCs w:val="20"/>
            <w:lang w:eastAsia="pt-BR"/>
          </w:rPr>
          <w:t>Resolução CD-FNDE n.º 16, de 9 de dezembro de 2015</w:t>
        </w:r>
      </w:hyperlink>
      <w:r w:rsidR="007C7CFA" w:rsidRPr="007C7CFA">
        <w:rPr>
          <w:rFonts w:ascii="Verdana" w:eastAsia="Times New Roman" w:hAnsi="Verdana" w:cs="Times New Roman"/>
          <w:color w:val="000000"/>
          <w:sz w:val="20"/>
          <w:szCs w:val="20"/>
          <w:lang w:eastAsia="pt-BR"/>
        </w:rPr>
        <w:t>.</w:t>
      </w:r>
    </w:p>
    <w:p w:rsidR="007C7CFA" w:rsidRPr="007C7CFA" w:rsidRDefault="007C7CFA" w:rsidP="007C7CFA">
      <w:pPr>
        <w:spacing w:after="150" w:line="240" w:lineRule="auto"/>
        <w:jc w:val="both"/>
        <w:rPr>
          <w:rFonts w:ascii="Verdana" w:eastAsia="Times New Roman" w:hAnsi="Verdana" w:cs="Times New Roman"/>
          <w:color w:val="000000"/>
          <w:sz w:val="20"/>
          <w:szCs w:val="20"/>
          <w:lang w:eastAsia="pt-BR"/>
        </w:rPr>
      </w:pPr>
      <w:r w:rsidRPr="007C7CFA">
        <w:rPr>
          <w:rFonts w:ascii="Verdana" w:eastAsia="Times New Roman" w:hAnsi="Verdana" w:cs="Times New Roman"/>
          <w:color w:val="000000"/>
          <w:sz w:val="20"/>
          <w:szCs w:val="20"/>
          <w:lang w:eastAsia="pt-BR"/>
        </w:rPr>
        <w:t>O PRESIDENTE DO CONSELHO DELIBERATIVO DO FUNDO NACIONAL DE DESENVOLVIMENTO DA EDUCAÇÃO, no uso das atribuições que lhe conferem o art. 7º, § 1º, da Lei nº 5.537, de 21 de novembro de 1968, os arts. 4º, § 2º, e 14 do Anexo I do Decreto nº 7.691, de 2 de março de 2012, e os arts. 3º, inciso I, alíneas "a" e "b"; 5º, caput; e 6º, inciso VI, do Anexo da Resolução nº 31, de 30 de setembro de 2003, e</w:t>
      </w:r>
    </w:p>
    <w:p w:rsidR="007C7CFA" w:rsidRPr="007C7CFA" w:rsidRDefault="007C7CFA" w:rsidP="007C7CFA">
      <w:pPr>
        <w:spacing w:after="150" w:line="240" w:lineRule="auto"/>
        <w:jc w:val="both"/>
        <w:rPr>
          <w:rFonts w:ascii="Verdana" w:eastAsia="Times New Roman" w:hAnsi="Verdana" w:cs="Times New Roman"/>
          <w:color w:val="000000"/>
          <w:sz w:val="20"/>
          <w:szCs w:val="20"/>
          <w:lang w:eastAsia="pt-BR"/>
        </w:rPr>
      </w:pPr>
      <w:r w:rsidRPr="007C7CFA">
        <w:rPr>
          <w:rFonts w:ascii="Verdana" w:eastAsia="Times New Roman" w:hAnsi="Verdana" w:cs="Times New Roman"/>
          <w:color w:val="000000"/>
          <w:sz w:val="20"/>
          <w:szCs w:val="20"/>
          <w:lang w:eastAsia="pt-BR"/>
        </w:rPr>
        <w:t>CONSIDERANDO que a exigência de guarda de documentos probatórios de execução e prestação de contas de recursos públicos federais por prazos longos faz sobrelevar os gastos administrativos dos entes federados e entidades por ela abrangidos e conflita com os ideais de desburocratização perseguidos pela administração pública;</w:t>
      </w:r>
    </w:p>
    <w:p w:rsidR="007C7CFA" w:rsidRPr="007C7CFA" w:rsidRDefault="007C7CFA" w:rsidP="007C7CFA">
      <w:pPr>
        <w:spacing w:after="150" w:line="240" w:lineRule="auto"/>
        <w:jc w:val="both"/>
        <w:rPr>
          <w:rFonts w:ascii="Verdana" w:eastAsia="Times New Roman" w:hAnsi="Verdana" w:cs="Times New Roman"/>
          <w:color w:val="000000"/>
          <w:sz w:val="20"/>
          <w:szCs w:val="20"/>
          <w:lang w:eastAsia="pt-BR"/>
        </w:rPr>
      </w:pPr>
      <w:r w:rsidRPr="007C7CFA">
        <w:rPr>
          <w:rFonts w:ascii="Verdana" w:eastAsia="Times New Roman" w:hAnsi="Verdana" w:cs="Times New Roman"/>
          <w:color w:val="000000"/>
          <w:sz w:val="20"/>
          <w:szCs w:val="20"/>
          <w:lang w:eastAsia="pt-BR"/>
        </w:rPr>
        <w:t>CONSIDERANDO que o sucesso de políticas públicas educacionais requer a adoção de permanentes medidas que elevem o desempenho dos processos de planejamento, gestão, execução e controle da assistência financeira federal entre as quais a concedida às escolas beneficiárias do Programa Dinheiro Direto na Escola (PDDE) e suas ações agregadas;</w:t>
      </w:r>
    </w:p>
    <w:p w:rsidR="007C7CFA" w:rsidRPr="007C7CFA" w:rsidRDefault="007C7CFA" w:rsidP="007C7CFA">
      <w:pPr>
        <w:spacing w:after="150" w:line="240" w:lineRule="auto"/>
        <w:jc w:val="both"/>
        <w:rPr>
          <w:rFonts w:ascii="Verdana" w:eastAsia="Times New Roman" w:hAnsi="Verdana" w:cs="Times New Roman"/>
          <w:color w:val="000000"/>
          <w:sz w:val="20"/>
          <w:szCs w:val="20"/>
          <w:lang w:eastAsia="pt-BR"/>
        </w:rPr>
      </w:pPr>
      <w:r w:rsidRPr="007C7CFA">
        <w:rPr>
          <w:rFonts w:ascii="Verdana" w:eastAsia="Times New Roman" w:hAnsi="Verdana" w:cs="Times New Roman"/>
          <w:color w:val="000000"/>
          <w:sz w:val="20"/>
          <w:szCs w:val="20"/>
          <w:lang w:eastAsia="pt-BR"/>
        </w:rPr>
        <w:t>CONSIDERANDO o imperativo propósito de promover a autonomia escolar nas suas vertentes administrativa, financeira e pedagógica, mediante a disponibilização de mecanismos que ampliem as possibilidades de participação das comunidades escolares no planejamento de medidas voltadas ao fortalecimento do uso racional e transparente dos recursos do PDDE e suas ações agregadas;</w:t>
      </w:r>
    </w:p>
    <w:p w:rsidR="007C7CFA" w:rsidRPr="007C7CFA" w:rsidRDefault="007C7CFA" w:rsidP="007C7CFA">
      <w:pPr>
        <w:spacing w:after="150" w:line="240" w:lineRule="auto"/>
        <w:jc w:val="both"/>
        <w:rPr>
          <w:rFonts w:ascii="Verdana" w:eastAsia="Times New Roman" w:hAnsi="Verdana" w:cs="Times New Roman"/>
          <w:color w:val="000000"/>
          <w:sz w:val="20"/>
          <w:szCs w:val="20"/>
          <w:lang w:eastAsia="pt-BR"/>
        </w:rPr>
      </w:pPr>
      <w:r w:rsidRPr="007C7CFA">
        <w:rPr>
          <w:rFonts w:ascii="Verdana" w:eastAsia="Times New Roman" w:hAnsi="Verdana" w:cs="Times New Roman"/>
          <w:color w:val="000000"/>
          <w:sz w:val="20"/>
          <w:szCs w:val="20"/>
          <w:lang w:eastAsia="pt-BR"/>
        </w:rPr>
        <w:t>CONSIDERANDO a necessidade de mitigar os impactos negativos sobre a missão das escolas, decorrentes do desconto de saldos e das transferências dos recursos do PDDE em duas parcelas, resultando em redução de disponibilidade financeira e em comprometimento do planejamento das comunidades escolares para o uso racional e transparente dessas verbas;</w:t>
      </w:r>
    </w:p>
    <w:p w:rsidR="007C7CFA" w:rsidRPr="007C7CFA" w:rsidRDefault="007C7CFA" w:rsidP="007C7CFA">
      <w:pPr>
        <w:spacing w:after="150" w:line="240" w:lineRule="auto"/>
        <w:jc w:val="both"/>
        <w:rPr>
          <w:rFonts w:ascii="Verdana" w:eastAsia="Times New Roman" w:hAnsi="Verdana" w:cs="Times New Roman"/>
          <w:color w:val="000000"/>
          <w:sz w:val="20"/>
          <w:szCs w:val="20"/>
          <w:lang w:eastAsia="pt-BR"/>
        </w:rPr>
      </w:pPr>
      <w:r w:rsidRPr="007C7CFA">
        <w:rPr>
          <w:rFonts w:ascii="Verdana" w:eastAsia="Times New Roman" w:hAnsi="Verdana" w:cs="Times New Roman"/>
          <w:color w:val="000000"/>
          <w:sz w:val="20"/>
          <w:szCs w:val="20"/>
          <w:lang w:eastAsia="pt-BR"/>
        </w:rPr>
        <w:t>CONSIDERANDO a necessidade de propiciar mecanismos que eliminem os impactos negativos, minimizem as incertezas e possibilitem sincronismo entre os fluxos de transferências dos recursos e o planejamento para sua utilização;</w:t>
      </w:r>
    </w:p>
    <w:p w:rsidR="007C7CFA" w:rsidRPr="007C7CFA" w:rsidRDefault="007C7CFA" w:rsidP="007C7CFA">
      <w:pPr>
        <w:spacing w:after="150" w:line="240" w:lineRule="auto"/>
        <w:jc w:val="both"/>
        <w:rPr>
          <w:rFonts w:ascii="Verdana" w:eastAsia="Times New Roman" w:hAnsi="Verdana" w:cs="Times New Roman"/>
          <w:color w:val="000000"/>
          <w:sz w:val="20"/>
          <w:szCs w:val="20"/>
          <w:lang w:eastAsia="pt-BR"/>
        </w:rPr>
      </w:pPr>
      <w:r w:rsidRPr="007C7CFA">
        <w:rPr>
          <w:rFonts w:ascii="Verdana" w:eastAsia="Times New Roman" w:hAnsi="Verdana" w:cs="Times New Roman"/>
          <w:color w:val="000000"/>
          <w:sz w:val="20"/>
          <w:szCs w:val="20"/>
          <w:lang w:eastAsia="pt-BR"/>
        </w:rPr>
        <w:lastRenderedPageBreak/>
        <w:t>CONSIDERANDO as carências financeiras das unidades de ensino e a existência de saldos de recursos capazes de minorá-las ou supri-las;</w:t>
      </w:r>
    </w:p>
    <w:p w:rsidR="007C7CFA" w:rsidRPr="007C7CFA" w:rsidRDefault="007C7CFA" w:rsidP="007C7CFA">
      <w:pPr>
        <w:spacing w:after="150" w:line="240" w:lineRule="auto"/>
        <w:jc w:val="both"/>
        <w:rPr>
          <w:rFonts w:ascii="Verdana" w:eastAsia="Times New Roman" w:hAnsi="Verdana" w:cs="Times New Roman"/>
          <w:color w:val="000000"/>
          <w:sz w:val="20"/>
          <w:szCs w:val="20"/>
          <w:lang w:eastAsia="pt-BR"/>
        </w:rPr>
      </w:pPr>
      <w:r w:rsidRPr="007C7CFA">
        <w:rPr>
          <w:rFonts w:ascii="Verdana" w:eastAsia="Times New Roman" w:hAnsi="Verdana" w:cs="Times New Roman"/>
          <w:color w:val="000000"/>
          <w:sz w:val="20"/>
          <w:szCs w:val="20"/>
          <w:lang w:eastAsia="pt-BR"/>
        </w:rPr>
        <w:t>CONSIDERANDO que os recursos do PDDE e suas ações agregadas são vinculados à educação e nessa nobre finalidade devem ser utilizados;</w:t>
      </w:r>
    </w:p>
    <w:p w:rsidR="007C7CFA" w:rsidRPr="007C7CFA" w:rsidRDefault="007C7CFA" w:rsidP="007C7CFA">
      <w:pPr>
        <w:spacing w:after="150" w:line="240" w:lineRule="auto"/>
        <w:jc w:val="both"/>
        <w:rPr>
          <w:rFonts w:ascii="Verdana" w:eastAsia="Times New Roman" w:hAnsi="Verdana" w:cs="Times New Roman"/>
          <w:color w:val="000000"/>
          <w:sz w:val="20"/>
          <w:szCs w:val="20"/>
          <w:lang w:eastAsia="pt-BR"/>
        </w:rPr>
      </w:pPr>
      <w:r w:rsidRPr="007C7CFA">
        <w:rPr>
          <w:rFonts w:ascii="Verdana" w:eastAsia="Times New Roman" w:hAnsi="Verdana" w:cs="Times New Roman"/>
          <w:color w:val="000000"/>
          <w:sz w:val="20"/>
          <w:szCs w:val="20"/>
          <w:lang w:eastAsia="pt-BR"/>
        </w:rPr>
        <w:t>CONSIDERANDO o propósito de promover a utilização racional de saldos remanescentes de recursos do PDDE e de suas ações agregadas, de modo a concorrer para a melhoria das condições de funcionamento das escolas beneficiárias; e</w:t>
      </w:r>
    </w:p>
    <w:p w:rsidR="007C7CFA" w:rsidRPr="007C7CFA" w:rsidRDefault="007C7CFA" w:rsidP="007C7CFA">
      <w:pPr>
        <w:spacing w:after="150" w:line="240" w:lineRule="auto"/>
        <w:jc w:val="both"/>
        <w:rPr>
          <w:rFonts w:ascii="Verdana" w:eastAsia="Times New Roman" w:hAnsi="Verdana" w:cs="Times New Roman"/>
          <w:color w:val="000000"/>
          <w:sz w:val="20"/>
          <w:szCs w:val="20"/>
          <w:lang w:eastAsia="pt-BR"/>
        </w:rPr>
      </w:pPr>
      <w:r w:rsidRPr="007C7CFA">
        <w:rPr>
          <w:rFonts w:ascii="Verdana" w:eastAsia="Times New Roman" w:hAnsi="Verdana" w:cs="Times New Roman"/>
          <w:color w:val="000000"/>
          <w:sz w:val="20"/>
          <w:szCs w:val="20"/>
          <w:lang w:eastAsia="pt-BR"/>
        </w:rPr>
        <w:t>CONSIDERANDO o que estabelece o art. 27 da Lei nº 11.947, de 16 de julho de 2009; resolve, ad referendum do Conselho Deliberativo do FNDE:</w:t>
      </w:r>
    </w:p>
    <w:p w:rsidR="007C7CFA" w:rsidRPr="007C7CFA" w:rsidRDefault="007C7CFA" w:rsidP="007C7CFA">
      <w:pPr>
        <w:spacing w:after="150" w:line="240" w:lineRule="auto"/>
        <w:jc w:val="both"/>
        <w:rPr>
          <w:rFonts w:ascii="Verdana" w:eastAsia="Times New Roman" w:hAnsi="Verdana" w:cs="Times New Roman"/>
          <w:color w:val="000000"/>
          <w:sz w:val="20"/>
          <w:szCs w:val="20"/>
          <w:lang w:eastAsia="pt-BR"/>
        </w:rPr>
      </w:pPr>
      <w:r w:rsidRPr="007C7CFA">
        <w:rPr>
          <w:rFonts w:ascii="Verdana" w:eastAsia="Times New Roman" w:hAnsi="Verdana" w:cs="Times New Roman"/>
          <w:color w:val="000000"/>
          <w:sz w:val="20"/>
          <w:szCs w:val="20"/>
          <w:lang w:eastAsia="pt-BR"/>
        </w:rPr>
        <w:t>Art. 1º Alterar as Resoluções </w:t>
      </w:r>
      <w:hyperlink r:id="rId10" w:history="1">
        <w:r w:rsidRPr="007C7CFA">
          <w:rPr>
            <w:rFonts w:ascii="Verdana" w:eastAsia="Times New Roman" w:hAnsi="Verdana" w:cs="Times New Roman"/>
            <w:color w:val="0000EE"/>
            <w:sz w:val="20"/>
            <w:szCs w:val="20"/>
            <w:lang w:eastAsia="pt-BR"/>
          </w:rPr>
          <w:t>nºs 10, de 18 de abril de 2013</w:t>
        </w:r>
      </w:hyperlink>
      <w:r w:rsidRPr="007C7CFA">
        <w:rPr>
          <w:rFonts w:ascii="Verdana" w:eastAsia="Times New Roman" w:hAnsi="Verdana" w:cs="Times New Roman"/>
          <w:color w:val="000000"/>
          <w:sz w:val="20"/>
          <w:szCs w:val="20"/>
          <w:lang w:eastAsia="pt-BR"/>
        </w:rPr>
        <w:t>, e </w:t>
      </w:r>
      <w:hyperlink r:id="rId11" w:history="1">
        <w:r w:rsidRPr="007C7CFA">
          <w:rPr>
            <w:rFonts w:ascii="Verdana" w:eastAsia="Times New Roman" w:hAnsi="Verdana" w:cs="Times New Roman"/>
            <w:color w:val="0000EE"/>
            <w:sz w:val="20"/>
            <w:szCs w:val="20"/>
            <w:lang w:eastAsia="pt-BR"/>
          </w:rPr>
          <w:t>16, de 9 de dezembro de 2015</w:t>
        </w:r>
      </w:hyperlink>
      <w:r w:rsidRPr="007C7CFA">
        <w:rPr>
          <w:rFonts w:ascii="Verdana" w:eastAsia="Times New Roman" w:hAnsi="Verdana" w:cs="Times New Roman"/>
          <w:color w:val="000000"/>
          <w:sz w:val="20"/>
          <w:szCs w:val="20"/>
          <w:lang w:eastAsia="pt-BR"/>
        </w:rPr>
        <w:t>, do Conselho Deliberativo do Fundo Nacional de Desenvolvimento da Educação (CD/FNDE) e estabelecer forma alternativa de utilização de saldos remanescentes nas contas bancárias específicas das ações agregadas ao PDDE, chamadas de PDDE a Título Emergencial, Projeto de Adequação de Prédios Escolares (PAPE), Projeto de Melhoria da Escola (PME), Funcionamento das Escolas no Fim de Semana (FEFS), Plano de Desenvolvimento da Escola (PDE), PDDE Integral, PDDE Estrutura e PDDE Qualidade.</w:t>
      </w:r>
    </w:p>
    <w:p w:rsidR="007C7CFA" w:rsidRPr="007C7CFA" w:rsidRDefault="007C7CFA" w:rsidP="007C7CFA">
      <w:pPr>
        <w:spacing w:after="150" w:line="240" w:lineRule="auto"/>
        <w:jc w:val="both"/>
        <w:rPr>
          <w:rFonts w:ascii="Verdana" w:eastAsia="Times New Roman" w:hAnsi="Verdana" w:cs="Times New Roman"/>
          <w:color w:val="000000"/>
          <w:sz w:val="20"/>
          <w:szCs w:val="20"/>
          <w:lang w:eastAsia="pt-BR"/>
        </w:rPr>
      </w:pPr>
      <w:r w:rsidRPr="007C7CFA">
        <w:rPr>
          <w:rFonts w:ascii="Verdana" w:eastAsia="Times New Roman" w:hAnsi="Verdana" w:cs="Times New Roman"/>
          <w:color w:val="000000"/>
          <w:sz w:val="20"/>
          <w:szCs w:val="20"/>
          <w:lang w:eastAsia="pt-BR"/>
        </w:rPr>
        <w:t>Art. 2º O </w:t>
      </w:r>
      <w:hyperlink r:id="rId12" w:history="1">
        <w:r w:rsidRPr="007C7CFA">
          <w:rPr>
            <w:rFonts w:ascii="Verdana" w:eastAsia="Times New Roman" w:hAnsi="Verdana" w:cs="Times New Roman"/>
            <w:color w:val="0000EE"/>
            <w:sz w:val="20"/>
            <w:szCs w:val="20"/>
            <w:lang w:eastAsia="pt-BR"/>
          </w:rPr>
          <w:t>art. 18 da Resolução CD-FNDE n.º 10, de 18 de abril de 2013</w:t>
        </w:r>
      </w:hyperlink>
      <w:r w:rsidRPr="007C7CFA">
        <w:rPr>
          <w:rFonts w:ascii="Verdana" w:eastAsia="Times New Roman" w:hAnsi="Verdana" w:cs="Times New Roman"/>
          <w:color w:val="000000"/>
          <w:sz w:val="20"/>
          <w:szCs w:val="20"/>
          <w:lang w:eastAsia="pt-BR"/>
        </w:rPr>
        <w:t>, passa a ter a seguinte redação:</w:t>
      </w:r>
    </w:p>
    <w:p w:rsidR="007C7CFA" w:rsidRPr="007C7CFA" w:rsidRDefault="007C7CFA" w:rsidP="007C7CFA">
      <w:pPr>
        <w:spacing w:after="150" w:line="240" w:lineRule="auto"/>
        <w:jc w:val="both"/>
        <w:rPr>
          <w:rFonts w:ascii="Verdana" w:eastAsia="Times New Roman" w:hAnsi="Verdana" w:cs="Times New Roman"/>
          <w:color w:val="000000"/>
          <w:sz w:val="20"/>
          <w:szCs w:val="20"/>
          <w:lang w:eastAsia="pt-BR"/>
        </w:rPr>
      </w:pPr>
      <w:r w:rsidRPr="007C7CFA">
        <w:rPr>
          <w:rFonts w:ascii="Verdana" w:eastAsia="Times New Roman" w:hAnsi="Verdana" w:cs="Times New Roman"/>
          <w:color w:val="000000"/>
          <w:sz w:val="20"/>
          <w:szCs w:val="20"/>
          <w:lang w:eastAsia="pt-BR"/>
        </w:rPr>
        <w:t>"</w:t>
      </w:r>
      <w:hyperlink r:id="rId13" w:history="1">
        <w:r w:rsidRPr="007C7CFA">
          <w:rPr>
            <w:rFonts w:ascii="Verdana" w:eastAsia="Times New Roman" w:hAnsi="Verdana" w:cs="Times New Roman"/>
            <w:color w:val="0000EE"/>
            <w:sz w:val="20"/>
            <w:szCs w:val="20"/>
            <w:lang w:eastAsia="pt-BR"/>
          </w:rPr>
          <w:t>Art. 18</w:t>
        </w:r>
      </w:hyperlink>
      <w:r w:rsidRPr="007C7CFA">
        <w:rPr>
          <w:rFonts w:ascii="Verdana" w:eastAsia="Times New Roman" w:hAnsi="Verdana" w:cs="Times New Roman"/>
          <w:color w:val="000000"/>
          <w:sz w:val="20"/>
          <w:szCs w:val="20"/>
          <w:lang w:eastAsia="pt-BR"/>
        </w:rPr>
        <w:t>. As despesas realizadas com recursos transferidos, nos moldes e sob a égide desta Resolução, serão comprovadas mediante documentos fiscais originais ou equivalentes, na forma da legislação à qual a entidade responsável pela despesa estiver sujeita, devendo os recibos, faturas, notas fiscais e quaisquer outros documentos comprobatórios ser emitidos em nome da EEx, UEx ou da EM, identificados com os nomes FNDE e do programa, e ser arquivados, em suas respectivas sedes, juntamente com os comprovantes de pagamentos efetuados, ainda que utilize serviços de contabilidade de terceiros, pelo prazo de 10 (dez) anos, contado da data do julgamento da prestação de contas anual do FNDE pelo Tribunal de Contas da União (TCU) referente ao exercício do repasse, ou, se for o caso, da Tomada de Contas Especial, para disponibilização, quando solicitados, a esse Fundo, aos órgãos de controle interno e externo e ao Ministério Público".</w:t>
      </w:r>
    </w:p>
    <w:p w:rsidR="007C7CFA" w:rsidRPr="007C7CFA" w:rsidRDefault="007C7CFA" w:rsidP="007C7CFA">
      <w:pPr>
        <w:spacing w:after="150" w:line="240" w:lineRule="auto"/>
        <w:jc w:val="both"/>
        <w:rPr>
          <w:rFonts w:ascii="Verdana" w:eastAsia="Times New Roman" w:hAnsi="Verdana" w:cs="Times New Roman"/>
          <w:color w:val="000000"/>
          <w:sz w:val="20"/>
          <w:szCs w:val="20"/>
          <w:lang w:eastAsia="pt-BR"/>
        </w:rPr>
      </w:pPr>
      <w:r w:rsidRPr="007C7CFA">
        <w:rPr>
          <w:rFonts w:ascii="Verdana" w:eastAsia="Times New Roman" w:hAnsi="Verdana" w:cs="Times New Roman"/>
          <w:color w:val="000000"/>
          <w:sz w:val="20"/>
          <w:szCs w:val="20"/>
          <w:lang w:eastAsia="pt-BR"/>
        </w:rPr>
        <w:t>Art. 3º O </w:t>
      </w:r>
      <w:hyperlink r:id="rId14" w:history="1">
        <w:r w:rsidRPr="007C7CFA">
          <w:rPr>
            <w:rFonts w:ascii="Verdana" w:eastAsia="Times New Roman" w:hAnsi="Verdana" w:cs="Times New Roman"/>
            <w:color w:val="0000EE"/>
            <w:sz w:val="20"/>
            <w:szCs w:val="20"/>
            <w:lang w:eastAsia="pt-BR"/>
          </w:rPr>
          <w:t>art. 20 da Resolução CD-FNDE n.º 10, de 18 de abril de 2013</w:t>
        </w:r>
      </w:hyperlink>
      <w:r w:rsidRPr="007C7CFA">
        <w:rPr>
          <w:rFonts w:ascii="Verdana" w:eastAsia="Times New Roman" w:hAnsi="Verdana" w:cs="Times New Roman"/>
          <w:color w:val="000000"/>
          <w:sz w:val="20"/>
          <w:szCs w:val="20"/>
          <w:lang w:eastAsia="pt-BR"/>
        </w:rPr>
        <w:t>, fica acrescido do § 3º com a seguinte redação:</w:t>
      </w:r>
    </w:p>
    <w:p w:rsidR="007C7CFA" w:rsidRPr="007C7CFA" w:rsidRDefault="007C7CFA" w:rsidP="007C7CFA">
      <w:pPr>
        <w:spacing w:after="150" w:line="240" w:lineRule="auto"/>
        <w:jc w:val="both"/>
        <w:rPr>
          <w:rFonts w:ascii="Verdana" w:eastAsia="Times New Roman" w:hAnsi="Verdana" w:cs="Times New Roman"/>
          <w:color w:val="000000"/>
          <w:sz w:val="20"/>
          <w:szCs w:val="20"/>
          <w:lang w:eastAsia="pt-BR"/>
        </w:rPr>
      </w:pPr>
      <w:r w:rsidRPr="007C7CFA">
        <w:rPr>
          <w:rFonts w:ascii="Verdana" w:eastAsia="Times New Roman" w:hAnsi="Verdana" w:cs="Times New Roman"/>
          <w:color w:val="000000"/>
          <w:sz w:val="20"/>
          <w:szCs w:val="20"/>
          <w:lang w:eastAsia="pt-BR"/>
        </w:rPr>
        <w:t>"§ 3º Será facultado à EEx, à UEx e à EM restituírem à conta bancária de que trata o art. 13 os valores correspondentes ao não cumprimento das obrigações estabelecidas nesta Resolução, ocorrido na execução do PDDE, nas formas dos incisos II e III deste artigo, corrigidos, nos termos do § 4º do art. 21, como alternativa de restabelecimento das condições de que tratam o parágrafo anterior, sem prejuízo das demais sanções legais cabíveis e da obrigação de reparar os danos porventura existentes."</w:t>
      </w:r>
    </w:p>
    <w:p w:rsidR="007C7CFA" w:rsidRPr="007C7CFA" w:rsidRDefault="007C7CFA" w:rsidP="007C7CFA">
      <w:pPr>
        <w:spacing w:after="150" w:line="240" w:lineRule="auto"/>
        <w:jc w:val="both"/>
        <w:rPr>
          <w:rFonts w:ascii="Verdana" w:eastAsia="Times New Roman" w:hAnsi="Verdana" w:cs="Times New Roman"/>
          <w:color w:val="000000"/>
          <w:sz w:val="20"/>
          <w:szCs w:val="20"/>
          <w:lang w:eastAsia="pt-BR"/>
        </w:rPr>
      </w:pPr>
      <w:r w:rsidRPr="007C7CFA">
        <w:rPr>
          <w:rFonts w:ascii="Verdana" w:eastAsia="Times New Roman" w:hAnsi="Verdana" w:cs="Times New Roman"/>
          <w:color w:val="000000"/>
          <w:sz w:val="20"/>
          <w:szCs w:val="20"/>
          <w:lang w:eastAsia="pt-BR"/>
        </w:rPr>
        <w:t>Art. 4º O </w:t>
      </w:r>
      <w:hyperlink r:id="rId15" w:history="1">
        <w:r w:rsidRPr="007C7CFA">
          <w:rPr>
            <w:rFonts w:ascii="Verdana" w:eastAsia="Times New Roman" w:hAnsi="Verdana" w:cs="Times New Roman"/>
            <w:color w:val="0000EE"/>
            <w:sz w:val="20"/>
            <w:szCs w:val="20"/>
            <w:lang w:eastAsia="pt-BR"/>
          </w:rPr>
          <w:t>inciso II do art. 21 da Resolução CD-FNDE n.º 10, de 18 de abril de 2013</w:t>
        </w:r>
      </w:hyperlink>
      <w:r w:rsidRPr="007C7CFA">
        <w:rPr>
          <w:rFonts w:ascii="Verdana" w:eastAsia="Times New Roman" w:hAnsi="Verdana" w:cs="Times New Roman"/>
          <w:color w:val="000000"/>
          <w:sz w:val="20"/>
          <w:szCs w:val="20"/>
          <w:lang w:eastAsia="pt-BR"/>
        </w:rPr>
        <w:t>, passa a ter a seguinte redação, acrescido das alíneas "a", "b", "c" e "d":</w:t>
      </w:r>
    </w:p>
    <w:p w:rsidR="007C7CFA" w:rsidRPr="007C7CFA" w:rsidRDefault="007C7CFA" w:rsidP="007C7CFA">
      <w:pPr>
        <w:spacing w:after="150" w:line="240" w:lineRule="auto"/>
        <w:jc w:val="both"/>
        <w:rPr>
          <w:rFonts w:ascii="Verdana" w:eastAsia="Times New Roman" w:hAnsi="Verdana" w:cs="Times New Roman"/>
          <w:color w:val="000000"/>
          <w:sz w:val="20"/>
          <w:szCs w:val="20"/>
          <w:lang w:eastAsia="pt-BR"/>
        </w:rPr>
      </w:pPr>
      <w:r w:rsidRPr="007C7CFA">
        <w:rPr>
          <w:rFonts w:ascii="Verdana" w:eastAsia="Times New Roman" w:hAnsi="Verdana" w:cs="Times New Roman"/>
          <w:color w:val="000000"/>
          <w:sz w:val="20"/>
          <w:szCs w:val="20"/>
          <w:lang w:eastAsia="pt-BR"/>
        </w:rPr>
        <w:t>II - paralisação das atividades ou extinção da escola vinculada à EEx, à UEx ou à EM, admitindo-se:</w:t>
      </w:r>
    </w:p>
    <w:p w:rsidR="007C7CFA" w:rsidRPr="007C7CFA" w:rsidRDefault="007C7CFA" w:rsidP="007C7CFA">
      <w:pPr>
        <w:spacing w:after="150" w:line="240" w:lineRule="auto"/>
        <w:jc w:val="both"/>
        <w:rPr>
          <w:rFonts w:ascii="Verdana" w:eastAsia="Times New Roman" w:hAnsi="Verdana" w:cs="Times New Roman"/>
          <w:color w:val="000000"/>
          <w:sz w:val="20"/>
          <w:szCs w:val="20"/>
          <w:lang w:eastAsia="pt-BR"/>
        </w:rPr>
      </w:pPr>
      <w:r w:rsidRPr="007C7CFA">
        <w:rPr>
          <w:rFonts w:ascii="Verdana" w:eastAsia="Times New Roman" w:hAnsi="Verdana" w:cs="Times New Roman"/>
          <w:color w:val="000000"/>
          <w:sz w:val="20"/>
          <w:szCs w:val="20"/>
          <w:lang w:eastAsia="pt-BR"/>
        </w:rPr>
        <w:t>a) a faculdade da EEx de distribuição dos valores destinados à escola extinta ou paralisada e que não possui UEx, entre as demais escolas ativas do rol de estabelecimentos de ensino que recebem os benefícios do PDDE por meio da prefeitura ou secretaria estadual ou distrital de educação.</w:t>
      </w:r>
    </w:p>
    <w:p w:rsidR="007C7CFA" w:rsidRPr="007C7CFA" w:rsidRDefault="007C7CFA" w:rsidP="007C7CFA">
      <w:pPr>
        <w:spacing w:after="150" w:line="240" w:lineRule="auto"/>
        <w:jc w:val="both"/>
        <w:rPr>
          <w:rFonts w:ascii="Verdana" w:eastAsia="Times New Roman" w:hAnsi="Verdana" w:cs="Times New Roman"/>
          <w:color w:val="000000"/>
          <w:sz w:val="20"/>
          <w:szCs w:val="20"/>
          <w:lang w:eastAsia="pt-BR"/>
        </w:rPr>
      </w:pPr>
      <w:r w:rsidRPr="007C7CFA">
        <w:rPr>
          <w:rFonts w:ascii="Verdana" w:eastAsia="Times New Roman" w:hAnsi="Verdana" w:cs="Times New Roman"/>
          <w:color w:val="000000"/>
          <w:sz w:val="20"/>
          <w:szCs w:val="20"/>
          <w:lang w:eastAsia="pt-BR"/>
        </w:rPr>
        <w:lastRenderedPageBreak/>
        <w:t>b) a faculdade da UEx constituída sob a forma de consórcio de distribuir os valores destinados à escola extinta ou paralisada, entre as demais escolas ativas do rol de estabelecimentos de ensino que recebem os benefícios do PDDE por seu intermédio.</w:t>
      </w:r>
    </w:p>
    <w:p w:rsidR="007C7CFA" w:rsidRPr="007C7CFA" w:rsidRDefault="007C7CFA" w:rsidP="007C7CFA">
      <w:pPr>
        <w:spacing w:after="150" w:line="240" w:lineRule="auto"/>
        <w:jc w:val="both"/>
        <w:rPr>
          <w:rFonts w:ascii="Verdana" w:eastAsia="Times New Roman" w:hAnsi="Verdana" w:cs="Times New Roman"/>
          <w:color w:val="000000"/>
          <w:sz w:val="20"/>
          <w:szCs w:val="20"/>
          <w:lang w:eastAsia="pt-BR"/>
        </w:rPr>
      </w:pPr>
      <w:r w:rsidRPr="007C7CFA">
        <w:rPr>
          <w:rFonts w:ascii="Verdana" w:eastAsia="Times New Roman" w:hAnsi="Verdana" w:cs="Times New Roman"/>
          <w:color w:val="000000"/>
          <w:sz w:val="20"/>
          <w:szCs w:val="20"/>
          <w:lang w:eastAsia="pt-BR"/>
        </w:rPr>
        <w:t>c) a distribuição de que trata as alínea "a" e "b" será realizada proporcionalmente ao número de alunos existentes nas escolas ativas atendidas pela EEx ou pela UEx, devendo os recursos ser empregados nas finalidades definidas no art. 4º desta Resolução.</w:t>
      </w:r>
    </w:p>
    <w:p w:rsidR="007C7CFA" w:rsidRPr="007C7CFA" w:rsidRDefault="007C7CFA" w:rsidP="007C7CFA">
      <w:pPr>
        <w:spacing w:after="150" w:line="240" w:lineRule="auto"/>
        <w:jc w:val="both"/>
        <w:rPr>
          <w:rFonts w:ascii="Verdana" w:eastAsia="Times New Roman" w:hAnsi="Verdana" w:cs="Times New Roman"/>
          <w:color w:val="000000"/>
          <w:sz w:val="20"/>
          <w:szCs w:val="20"/>
          <w:lang w:eastAsia="pt-BR"/>
        </w:rPr>
      </w:pPr>
      <w:r w:rsidRPr="007C7CFA">
        <w:rPr>
          <w:rFonts w:ascii="Verdana" w:eastAsia="Times New Roman" w:hAnsi="Verdana" w:cs="Times New Roman"/>
          <w:color w:val="000000"/>
          <w:sz w:val="20"/>
          <w:szCs w:val="20"/>
          <w:lang w:eastAsia="pt-BR"/>
        </w:rPr>
        <w:t>d) no caso de paralisação de escola atendida por UEx e na hipótese dos alunos terem sido realocados para um único estabelecimento de ensino, será facultada a utilização dos recursos que foram destinados ao estabelecimento de ensino paralisado, na escola que recepcionou os discentes, nas finalidades definidas no art. 4º desta Resolução.</w:t>
      </w:r>
    </w:p>
    <w:p w:rsidR="007C7CFA" w:rsidRPr="007C7CFA" w:rsidRDefault="007C7CFA" w:rsidP="007C7CFA">
      <w:pPr>
        <w:spacing w:after="150" w:line="240" w:lineRule="auto"/>
        <w:jc w:val="both"/>
        <w:rPr>
          <w:rFonts w:ascii="Verdana" w:eastAsia="Times New Roman" w:hAnsi="Verdana" w:cs="Times New Roman"/>
          <w:color w:val="000000"/>
          <w:sz w:val="20"/>
          <w:szCs w:val="20"/>
          <w:lang w:eastAsia="pt-BR"/>
        </w:rPr>
      </w:pPr>
      <w:r w:rsidRPr="007C7CFA">
        <w:rPr>
          <w:rFonts w:ascii="Verdana" w:eastAsia="Times New Roman" w:hAnsi="Verdana" w:cs="Times New Roman"/>
          <w:color w:val="000000"/>
          <w:sz w:val="20"/>
          <w:szCs w:val="20"/>
          <w:lang w:eastAsia="pt-BR"/>
        </w:rPr>
        <w:t>Art. 5º O </w:t>
      </w:r>
      <w:hyperlink r:id="rId16" w:history="1">
        <w:r w:rsidRPr="007C7CFA">
          <w:rPr>
            <w:rFonts w:ascii="Verdana" w:eastAsia="Times New Roman" w:hAnsi="Verdana" w:cs="Times New Roman"/>
            <w:color w:val="0000EE"/>
            <w:sz w:val="20"/>
            <w:szCs w:val="20"/>
            <w:lang w:eastAsia="pt-BR"/>
          </w:rPr>
          <w:t>art. 2º da Resolução CD-FNDE n.º 16, de 9 de dezembro de 2015</w:t>
        </w:r>
      </w:hyperlink>
      <w:r w:rsidRPr="007C7CFA">
        <w:rPr>
          <w:rFonts w:ascii="Verdana" w:eastAsia="Times New Roman" w:hAnsi="Verdana" w:cs="Times New Roman"/>
          <w:color w:val="000000"/>
          <w:sz w:val="20"/>
          <w:szCs w:val="20"/>
          <w:lang w:eastAsia="pt-BR"/>
        </w:rPr>
        <w:t>, passa a ter a seguinte redação:</w:t>
      </w:r>
    </w:p>
    <w:p w:rsidR="007C7CFA" w:rsidRPr="007C7CFA" w:rsidRDefault="007C7CFA" w:rsidP="007C7CFA">
      <w:pPr>
        <w:spacing w:after="150" w:line="240" w:lineRule="auto"/>
        <w:jc w:val="both"/>
        <w:rPr>
          <w:rFonts w:ascii="Verdana" w:eastAsia="Times New Roman" w:hAnsi="Verdana" w:cs="Times New Roman"/>
          <w:color w:val="000000"/>
          <w:sz w:val="20"/>
          <w:szCs w:val="20"/>
          <w:lang w:eastAsia="pt-BR"/>
        </w:rPr>
      </w:pPr>
      <w:r w:rsidRPr="007C7CFA">
        <w:rPr>
          <w:rFonts w:ascii="Verdana" w:eastAsia="Times New Roman" w:hAnsi="Verdana" w:cs="Times New Roman"/>
          <w:color w:val="000000"/>
          <w:sz w:val="20"/>
          <w:szCs w:val="20"/>
          <w:lang w:eastAsia="pt-BR"/>
        </w:rPr>
        <w:t>"</w:t>
      </w:r>
      <w:hyperlink r:id="rId17" w:history="1">
        <w:r w:rsidRPr="007C7CFA">
          <w:rPr>
            <w:rFonts w:ascii="Verdana" w:eastAsia="Times New Roman" w:hAnsi="Verdana" w:cs="Times New Roman"/>
            <w:color w:val="0000EE"/>
            <w:sz w:val="20"/>
            <w:szCs w:val="20"/>
            <w:lang w:eastAsia="pt-BR"/>
          </w:rPr>
          <w:t>Art. 2º</w:t>
        </w:r>
      </w:hyperlink>
      <w:r w:rsidRPr="007C7CFA">
        <w:rPr>
          <w:rFonts w:ascii="Verdana" w:eastAsia="Times New Roman" w:hAnsi="Verdana" w:cs="Times New Roman"/>
          <w:color w:val="000000"/>
          <w:sz w:val="20"/>
          <w:szCs w:val="20"/>
          <w:lang w:eastAsia="pt-BR"/>
        </w:rPr>
        <w:t>. O repasse de recursos a serem destinados anualmente às escolas, calculados na forma estabelecida no </w:t>
      </w:r>
      <w:hyperlink r:id="rId18" w:history="1">
        <w:r w:rsidRPr="007C7CFA">
          <w:rPr>
            <w:rFonts w:ascii="Verdana" w:eastAsia="Times New Roman" w:hAnsi="Verdana" w:cs="Times New Roman"/>
            <w:color w:val="0000EE"/>
            <w:sz w:val="20"/>
            <w:szCs w:val="20"/>
            <w:lang w:eastAsia="pt-BR"/>
          </w:rPr>
          <w:t>art. 11 da Resolução CD-FNDE n.º 10, de 18 de abril de 2013</w:t>
        </w:r>
      </w:hyperlink>
      <w:r w:rsidRPr="007C7CFA">
        <w:rPr>
          <w:rFonts w:ascii="Verdana" w:eastAsia="Times New Roman" w:hAnsi="Verdana" w:cs="Times New Roman"/>
          <w:color w:val="000000"/>
          <w:sz w:val="20"/>
          <w:szCs w:val="20"/>
          <w:lang w:eastAsia="pt-BR"/>
        </w:rPr>
        <w:t>, dar-se-á em duas parcelas semestrais."</w:t>
      </w:r>
    </w:p>
    <w:p w:rsidR="007C7CFA" w:rsidRPr="007C7CFA" w:rsidRDefault="007C7CFA" w:rsidP="007C7CFA">
      <w:pPr>
        <w:spacing w:after="150" w:line="240" w:lineRule="auto"/>
        <w:jc w:val="both"/>
        <w:rPr>
          <w:rFonts w:ascii="Verdana" w:eastAsia="Times New Roman" w:hAnsi="Verdana" w:cs="Times New Roman"/>
          <w:color w:val="000000"/>
          <w:sz w:val="20"/>
          <w:szCs w:val="20"/>
          <w:lang w:eastAsia="pt-BR"/>
        </w:rPr>
      </w:pPr>
      <w:r w:rsidRPr="007C7CFA">
        <w:rPr>
          <w:rFonts w:ascii="Verdana" w:eastAsia="Times New Roman" w:hAnsi="Verdana" w:cs="Times New Roman"/>
          <w:color w:val="000000"/>
          <w:sz w:val="20"/>
          <w:szCs w:val="20"/>
          <w:lang w:eastAsia="pt-BR"/>
        </w:rPr>
        <w:t>Art. 6º Ficam revogados os </w:t>
      </w:r>
      <w:hyperlink r:id="rId19" w:history="1">
        <w:r w:rsidRPr="007C7CFA">
          <w:rPr>
            <w:rFonts w:ascii="Verdana" w:eastAsia="Times New Roman" w:hAnsi="Verdana" w:cs="Times New Roman"/>
            <w:color w:val="0000EE"/>
            <w:sz w:val="20"/>
            <w:szCs w:val="20"/>
            <w:lang w:eastAsia="pt-BR"/>
          </w:rPr>
          <w:t>§§ 1º e 2º do art. 3º e o art.4º da Resolução CD-FNDE n.º 16, de 9 de dezembro de 2015</w:t>
        </w:r>
      </w:hyperlink>
      <w:r w:rsidRPr="007C7CFA">
        <w:rPr>
          <w:rFonts w:ascii="Verdana" w:eastAsia="Times New Roman" w:hAnsi="Verdana" w:cs="Times New Roman"/>
          <w:color w:val="000000"/>
          <w:sz w:val="20"/>
          <w:szCs w:val="20"/>
          <w:lang w:eastAsia="pt-BR"/>
        </w:rPr>
        <w:t>.</w:t>
      </w:r>
    </w:p>
    <w:p w:rsidR="007C7CFA" w:rsidRPr="007C7CFA" w:rsidRDefault="007C7CFA" w:rsidP="007C7CFA">
      <w:pPr>
        <w:spacing w:after="150" w:line="240" w:lineRule="auto"/>
        <w:jc w:val="both"/>
        <w:rPr>
          <w:rFonts w:ascii="Verdana" w:eastAsia="Times New Roman" w:hAnsi="Verdana" w:cs="Times New Roman"/>
          <w:color w:val="000000"/>
          <w:sz w:val="20"/>
          <w:szCs w:val="20"/>
          <w:lang w:eastAsia="pt-BR"/>
        </w:rPr>
      </w:pPr>
      <w:r w:rsidRPr="007C7CFA">
        <w:rPr>
          <w:rFonts w:ascii="Verdana" w:eastAsia="Times New Roman" w:hAnsi="Verdana" w:cs="Times New Roman"/>
          <w:color w:val="000000"/>
          <w:sz w:val="20"/>
          <w:szCs w:val="20"/>
          <w:lang w:eastAsia="pt-BR"/>
        </w:rPr>
        <w:t>Art. 7º Os saldos remanescentes nas contas bancárias das ações do PDDE denominadas PDDE a Título Emergencial, Projeto de Adequação de Prédios Escolares (PAPE), Projeto de Melhoria da Escola (PME), Funcionamento das Escolas no Fim de Semana (FEFS), Plano de Desenvolvimento da Escola (PDE), PDDE Integral, PDDE Estrutura e PDDE Qualidade poderão ser utilizados nas finalidades de que trata o </w:t>
      </w:r>
      <w:hyperlink r:id="rId20" w:history="1">
        <w:r w:rsidRPr="007C7CFA">
          <w:rPr>
            <w:rFonts w:ascii="Verdana" w:eastAsia="Times New Roman" w:hAnsi="Verdana" w:cs="Times New Roman"/>
            <w:color w:val="0000EE"/>
            <w:sz w:val="20"/>
            <w:szCs w:val="20"/>
            <w:lang w:eastAsia="pt-BR"/>
          </w:rPr>
          <w:t>art. 4º da Resolução CD-FNDE n.º 10, de 18 de abril de 2013</w:t>
        </w:r>
      </w:hyperlink>
      <w:r w:rsidRPr="007C7CFA">
        <w:rPr>
          <w:rFonts w:ascii="Verdana" w:eastAsia="Times New Roman" w:hAnsi="Verdana" w:cs="Times New Roman"/>
          <w:color w:val="000000"/>
          <w:sz w:val="20"/>
          <w:szCs w:val="20"/>
          <w:lang w:eastAsia="pt-BR"/>
        </w:rPr>
        <w:t>, observando as categorias econômicas de custeio e de capital.</w:t>
      </w:r>
    </w:p>
    <w:p w:rsidR="007C7CFA" w:rsidRPr="007C7CFA" w:rsidRDefault="007C7CFA" w:rsidP="007C7CFA">
      <w:pPr>
        <w:spacing w:after="150" w:line="240" w:lineRule="auto"/>
        <w:jc w:val="both"/>
        <w:rPr>
          <w:rFonts w:ascii="Verdana" w:eastAsia="Times New Roman" w:hAnsi="Verdana" w:cs="Times New Roman"/>
          <w:color w:val="000000"/>
          <w:sz w:val="20"/>
          <w:szCs w:val="20"/>
          <w:lang w:eastAsia="pt-BR"/>
        </w:rPr>
      </w:pPr>
      <w:r w:rsidRPr="007C7CFA">
        <w:rPr>
          <w:rFonts w:ascii="Verdana" w:eastAsia="Times New Roman" w:hAnsi="Verdana" w:cs="Times New Roman"/>
          <w:color w:val="000000"/>
          <w:sz w:val="20"/>
          <w:szCs w:val="20"/>
          <w:lang w:eastAsia="pt-BR"/>
        </w:rPr>
        <w:t>§ 1º A faculdade de utilização alternativa, nas atividades do PDDE, dos saldos remanescentes nas contas bancárias do PDDE Integral, PDDE Estrutura e PDDE Qualidade, na forma do caput, só poderá ser exercida se as atividades passíveis de financiamento pela( s) ação(ões):</w:t>
      </w:r>
    </w:p>
    <w:p w:rsidR="007C7CFA" w:rsidRPr="007C7CFA" w:rsidRDefault="007C7CFA" w:rsidP="007C7CFA">
      <w:pPr>
        <w:spacing w:after="150" w:line="240" w:lineRule="auto"/>
        <w:jc w:val="both"/>
        <w:rPr>
          <w:rFonts w:ascii="Verdana" w:eastAsia="Times New Roman" w:hAnsi="Verdana" w:cs="Times New Roman"/>
          <w:color w:val="000000"/>
          <w:sz w:val="20"/>
          <w:szCs w:val="20"/>
          <w:lang w:eastAsia="pt-BR"/>
        </w:rPr>
      </w:pPr>
      <w:r w:rsidRPr="007C7CFA">
        <w:rPr>
          <w:rFonts w:ascii="Verdana" w:eastAsia="Times New Roman" w:hAnsi="Verdana" w:cs="Times New Roman"/>
          <w:color w:val="000000"/>
          <w:sz w:val="20"/>
          <w:szCs w:val="20"/>
          <w:lang w:eastAsia="pt-BR"/>
        </w:rPr>
        <w:t>I - tiverem sido totalmente realizadas; ou</w:t>
      </w:r>
    </w:p>
    <w:p w:rsidR="007C7CFA" w:rsidRPr="007C7CFA" w:rsidRDefault="007C7CFA" w:rsidP="007C7CFA">
      <w:pPr>
        <w:spacing w:after="150" w:line="240" w:lineRule="auto"/>
        <w:jc w:val="both"/>
        <w:rPr>
          <w:rFonts w:ascii="Verdana" w:eastAsia="Times New Roman" w:hAnsi="Verdana" w:cs="Times New Roman"/>
          <w:color w:val="000000"/>
          <w:sz w:val="20"/>
          <w:szCs w:val="20"/>
          <w:lang w:eastAsia="pt-BR"/>
        </w:rPr>
      </w:pPr>
      <w:r w:rsidRPr="007C7CFA">
        <w:rPr>
          <w:rFonts w:ascii="Verdana" w:eastAsia="Times New Roman" w:hAnsi="Verdana" w:cs="Times New Roman"/>
          <w:color w:val="000000"/>
          <w:sz w:val="20"/>
          <w:szCs w:val="20"/>
          <w:lang w:eastAsia="pt-BR"/>
        </w:rPr>
        <w:t>II - não tiverem sido iniciadas, continuadas ou concluídas por força de intransponíveis óbices supervenientes aos repasses.</w:t>
      </w:r>
    </w:p>
    <w:p w:rsidR="007C7CFA" w:rsidRPr="007C7CFA" w:rsidRDefault="007C7CFA" w:rsidP="007C7CFA">
      <w:pPr>
        <w:spacing w:after="150" w:line="240" w:lineRule="auto"/>
        <w:jc w:val="both"/>
        <w:rPr>
          <w:rFonts w:ascii="Verdana" w:eastAsia="Times New Roman" w:hAnsi="Verdana" w:cs="Times New Roman"/>
          <w:color w:val="000000"/>
          <w:sz w:val="20"/>
          <w:szCs w:val="20"/>
          <w:lang w:eastAsia="pt-BR"/>
        </w:rPr>
      </w:pPr>
      <w:r w:rsidRPr="007C7CFA">
        <w:rPr>
          <w:rFonts w:ascii="Verdana" w:eastAsia="Times New Roman" w:hAnsi="Verdana" w:cs="Times New Roman"/>
          <w:color w:val="000000"/>
          <w:sz w:val="20"/>
          <w:szCs w:val="20"/>
          <w:lang w:eastAsia="pt-BR"/>
        </w:rPr>
        <w:t>§ 2º As circunstâncias e os fatos admitidos nos incisos I e II deste artigo, motivadores da utilização alternativa dos saldos remanescentes de que tratam o caput deste artigo, deverão ser objeto de registro em atas a serem anexadas nas respectivas prestações de contas a ser submetida à EEx.</w:t>
      </w:r>
    </w:p>
    <w:p w:rsidR="007C7CFA" w:rsidRPr="007C7CFA" w:rsidRDefault="007C7CFA" w:rsidP="007C7CFA">
      <w:pPr>
        <w:spacing w:after="150" w:line="240" w:lineRule="auto"/>
        <w:jc w:val="both"/>
        <w:rPr>
          <w:rFonts w:ascii="Verdana" w:eastAsia="Times New Roman" w:hAnsi="Verdana" w:cs="Times New Roman"/>
          <w:color w:val="000000"/>
          <w:sz w:val="20"/>
          <w:szCs w:val="20"/>
          <w:lang w:eastAsia="pt-BR"/>
        </w:rPr>
      </w:pPr>
      <w:r w:rsidRPr="007C7CFA">
        <w:rPr>
          <w:rFonts w:ascii="Verdana" w:eastAsia="Times New Roman" w:hAnsi="Verdana" w:cs="Times New Roman"/>
          <w:color w:val="000000"/>
          <w:sz w:val="20"/>
          <w:szCs w:val="20"/>
          <w:lang w:eastAsia="pt-BR"/>
        </w:rPr>
        <w:t>Art. 8º Esta resolução entra em vigor na data de sua publicação.</w:t>
      </w:r>
    </w:p>
    <w:p w:rsidR="007C7CFA" w:rsidRPr="007C7CFA" w:rsidRDefault="007C7CFA" w:rsidP="007C7CFA">
      <w:pPr>
        <w:spacing w:after="150" w:line="240" w:lineRule="auto"/>
        <w:jc w:val="both"/>
        <w:rPr>
          <w:rFonts w:ascii="Verdana" w:eastAsia="Times New Roman" w:hAnsi="Verdana" w:cs="Times New Roman"/>
          <w:color w:val="000000"/>
          <w:sz w:val="20"/>
          <w:szCs w:val="20"/>
          <w:lang w:eastAsia="pt-BR"/>
        </w:rPr>
      </w:pPr>
      <w:r w:rsidRPr="007C7CFA">
        <w:rPr>
          <w:rFonts w:ascii="Verdana" w:eastAsia="Times New Roman" w:hAnsi="Verdana" w:cs="Times New Roman"/>
          <w:color w:val="000000"/>
          <w:sz w:val="20"/>
          <w:szCs w:val="20"/>
          <w:lang w:eastAsia="pt-BR"/>
        </w:rPr>
        <w:t>MENDONÇA FILHO</w:t>
      </w:r>
    </w:p>
    <w:p w:rsidR="007C7CFA" w:rsidRPr="007C7CFA" w:rsidRDefault="007C7CFA" w:rsidP="007C7CFA">
      <w:pPr>
        <w:spacing w:after="150" w:line="240" w:lineRule="auto"/>
        <w:jc w:val="both"/>
        <w:rPr>
          <w:rFonts w:ascii="Verdana" w:eastAsia="Times New Roman" w:hAnsi="Verdana" w:cs="Times New Roman"/>
          <w:color w:val="000000"/>
          <w:sz w:val="20"/>
          <w:szCs w:val="20"/>
          <w:lang w:eastAsia="pt-BR"/>
        </w:rPr>
      </w:pPr>
      <w:r w:rsidRPr="007C7CFA">
        <w:rPr>
          <w:rFonts w:ascii="Verdana" w:eastAsia="Times New Roman" w:hAnsi="Verdana" w:cs="Times New Roman"/>
          <w:color w:val="000000"/>
          <w:sz w:val="20"/>
          <w:szCs w:val="20"/>
          <w:lang w:eastAsia="pt-BR"/>
        </w:rPr>
        <w:t>D.O.U., 19/12/2016 - Seção 1</w:t>
      </w:r>
    </w:p>
    <w:p w:rsidR="00FA4850" w:rsidRDefault="00FA4850"/>
    <w:sectPr w:rsidR="00FA48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CFA"/>
    <w:rsid w:val="007C7CFA"/>
    <w:rsid w:val="00927965"/>
    <w:rsid w:val="00FA48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776230-E58F-4A5B-B84D-34075DFC0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C7CF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C7CFA"/>
    <w:rPr>
      <w:b/>
      <w:bCs/>
    </w:rPr>
  </w:style>
  <w:style w:type="character" w:styleId="Hyperlink">
    <w:name w:val="Hyperlink"/>
    <w:basedOn w:val="Fontepargpadro"/>
    <w:uiPriority w:val="99"/>
    <w:semiHidden/>
    <w:unhideWhenUsed/>
    <w:rsid w:val="007C7CFA"/>
    <w:rPr>
      <w:color w:val="0000FF"/>
      <w:u w:val="single"/>
    </w:rPr>
  </w:style>
  <w:style w:type="character" w:customStyle="1" w:styleId="apple-converted-space">
    <w:name w:val="apple-converted-space"/>
    <w:basedOn w:val="Fontepargpadro"/>
    <w:rsid w:val="007C7CFA"/>
  </w:style>
  <w:style w:type="paragraph" w:styleId="Textodebalo">
    <w:name w:val="Balloon Text"/>
    <w:basedOn w:val="Normal"/>
    <w:link w:val="TextodebaloChar"/>
    <w:uiPriority w:val="99"/>
    <w:semiHidden/>
    <w:unhideWhenUsed/>
    <w:rsid w:val="007C7CF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C7C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73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RES','00000010','000','2013','CD/FNDE/MEC','','','')" TargetMode="External"/><Relationship Id="rId13" Type="http://schemas.openxmlformats.org/officeDocument/2006/relationships/hyperlink" Target="javascript:LinkTexto('RES','00000010','000','2013','CD/FNDE/MEC','A','18','')" TargetMode="External"/><Relationship Id="rId18" Type="http://schemas.openxmlformats.org/officeDocument/2006/relationships/hyperlink" Target="javascript:LinkTexto('RES','00000010','000','2013','CD/FNDE/MEC','A','11','')"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javascript:LinkTexto('LEI','00011947','000','2009','NI','','','')" TargetMode="External"/><Relationship Id="rId12" Type="http://schemas.openxmlformats.org/officeDocument/2006/relationships/hyperlink" Target="javascript:LinkTexto('RES','00000010','000','2013','CD/FNDE/MEC','A','18','')" TargetMode="External"/><Relationship Id="rId17" Type="http://schemas.openxmlformats.org/officeDocument/2006/relationships/hyperlink" Target="javascript:LinkTexto('RES','00000016','000','2015','CD/FNDE/MEC','A','2','')" TargetMode="External"/><Relationship Id="rId2" Type="http://schemas.openxmlformats.org/officeDocument/2006/relationships/settings" Target="settings.xml"/><Relationship Id="rId16" Type="http://schemas.openxmlformats.org/officeDocument/2006/relationships/hyperlink" Target="javascript:LinkTexto('RES','00000016','000','2015','CD/FNDE/MEC','A','2','')" TargetMode="External"/><Relationship Id="rId20" Type="http://schemas.openxmlformats.org/officeDocument/2006/relationships/hyperlink" Target="javascript:LinkTexto('RES','00000010','000','2013','CD/FNDE/MEC','A','4','')" TargetMode="External"/><Relationship Id="rId1" Type="http://schemas.openxmlformats.org/officeDocument/2006/relationships/styles" Target="styles.xml"/><Relationship Id="rId6" Type="http://schemas.openxmlformats.org/officeDocument/2006/relationships/hyperlink" Target="javascript:LinkTexto('LEI','00005537','000','1968','NI','','','')" TargetMode="External"/><Relationship Id="rId11" Type="http://schemas.openxmlformats.org/officeDocument/2006/relationships/hyperlink" Target="javascript:LinkTexto('RES','00000016','000','2015','CD/FNDE/MEC','','','')" TargetMode="External"/><Relationship Id="rId5" Type="http://schemas.openxmlformats.org/officeDocument/2006/relationships/hyperlink" Target="javascript:LinkTexto('CON','00000000','000','1988','NI','','','')" TargetMode="External"/><Relationship Id="rId15" Type="http://schemas.openxmlformats.org/officeDocument/2006/relationships/hyperlink" Target="javascript:LinkTexto('RES','00000010','000','2013','CD/FNDE/MEC','A','21','')" TargetMode="External"/><Relationship Id="rId10" Type="http://schemas.openxmlformats.org/officeDocument/2006/relationships/hyperlink" Target="javascript:LinkTexto('RES','00000010','000','2013','CD/FNDE/MEC','','','')" TargetMode="External"/><Relationship Id="rId19" Type="http://schemas.openxmlformats.org/officeDocument/2006/relationships/hyperlink" Target="javascript:LinkTexto('RES','00000016','000','2015','CD/FNDE/MEC','A','3','4')" TargetMode="External"/><Relationship Id="rId4" Type="http://schemas.openxmlformats.org/officeDocument/2006/relationships/image" Target="media/image1.png"/><Relationship Id="rId9" Type="http://schemas.openxmlformats.org/officeDocument/2006/relationships/hyperlink" Target="javascript:LinkTexto('RES','00000016','000','2015','CD/FNDE/MEC','','','')" TargetMode="External"/><Relationship Id="rId14" Type="http://schemas.openxmlformats.org/officeDocument/2006/relationships/hyperlink" Target="javascript:LinkTexto('RES','00000010','000','2013','CD/FNDE/MEC','A','20','')"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1579</Words>
  <Characters>8527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Governo do Estado de Mato Grosso do Sul</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Ademar Finger</dc:creator>
  <cp:lastModifiedBy>Carla Renata Bassi</cp:lastModifiedBy>
  <cp:revision>2</cp:revision>
  <dcterms:created xsi:type="dcterms:W3CDTF">2018-01-11T17:07:00Z</dcterms:created>
  <dcterms:modified xsi:type="dcterms:W3CDTF">2018-01-11T17:07:00Z</dcterms:modified>
</cp:coreProperties>
</file>